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77D" w:rsidRPr="00E50EE3" w:rsidRDefault="00E50EE3" w:rsidP="00486737">
      <w:pPr>
        <w:jc w:val="center"/>
        <w:rPr>
          <w:rFonts w:cstheme="minorHAnsi"/>
          <w:b/>
          <w:bCs/>
          <w:sz w:val="28"/>
          <w:szCs w:val="28"/>
        </w:rPr>
      </w:pPr>
      <w:r w:rsidRPr="00E50EE3">
        <w:rPr>
          <w:rFonts w:cstheme="minorHAnsi"/>
          <w:b/>
          <w:bCs/>
          <w:sz w:val="28"/>
          <w:szCs w:val="28"/>
        </w:rPr>
        <w:t>KWESTIONARIUSZ PORĘCZYCIELA</w:t>
      </w:r>
    </w:p>
    <w:p w:rsidR="00486737" w:rsidRPr="00E50EE3" w:rsidRDefault="00486737" w:rsidP="006E277D">
      <w:pPr>
        <w:rPr>
          <w:rFonts w:cstheme="minorHAnsi"/>
          <w:b/>
          <w:bCs/>
        </w:rPr>
      </w:pPr>
    </w:p>
    <w:p w:rsidR="00DB5BC8" w:rsidRPr="00E50EE3" w:rsidRDefault="00486737" w:rsidP="006E277D">
      <w:pPr>
        <w:jc w:val="center"/>
        <w:rPr>
          <w:rFonts w:cstheme="minorHAnsi"/>
          <w:b/>
          <w:bCs/>
          <w:sz w:val="22"/>
          <w:szCs w:val="22"/>
        </w:rPr>
      </w:pPr>
      <w:r w:rsidRPr="00E50EE3">
        <w:rPr>
          <w:rFonts w:cstheme="minorHAnsi"/>
          <w:b/>
          <w:bCs/>
          <w:sz w:val="22"/>
          <w:szCs w:val="22"/>
        </w:rPr>
        <w:t>Do w</w:t>
      </w:r>
      <w:r w:rsidR="00367A1F" w:rsidRPr="00E50EE3">
        <w:rPr>
          <w:rFonts w:cstheme="minorHAnsi"/>
          <w:b/>
          <w:bCs/>
          <w:sz w:val="22"/>
          <w:szCs w:val="22"/>
        </w:rPr>
        <w:t>niosk</w:t>
      </w:r>
      <w:r w:rsidRPr="00E50EE3">
        <w:rPr>
          <w:rFonts w:cstheme="minorHAnsi"/>
          <w:b/>
          <w:bCs/>
          <w:sz w:val="22"/>
          <w:szCs w:val="22"/>
        </w:rPr>
        <w:t>u</w:t>
      </w:r>
      <w:r w:rsidR="00367A1F" w:rsidRPr="00E50EE3">
        <w:rPr>
          <w:rFonts w:cstheme="minorHAnsi"/>
          <w:b/>
          <w:bCs/>
          <w:sz w:val="22"/>
          <w:szCs w:val="22"/>
        </w:rPr>
        <w:t xml:space="preserve"> o pożyczkę z częściowym umorzeniem w ramach Projektu „Postaw na rozwój – europejskie pożyczki na kształcenie” programu Fundusze Europejskie dla Rozwoju Społecznego 2021-2027 współfinansowanego ze środków Europejskiego Funduszu Społecznego Plus</w:t>
      </w:r>
    </w:p>
    <w:p w:rsidR="00CA186E" w:rsidRPr="00E50EE3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9"/>
        <w:gridCol w:w="1566"/>
        <w:gridCol w:w="1412"/>
        <w:gridCol w:w="1737"/>
        <w:gridCol w:w="1410"/>
        <w:gridCol w:w="1754"/>
      </w:tblGrid>
      <w:tr w:rsidR="00486737" w:rsidRPr="00E50EE3" w:rsidTr="00BF7491">
        <w:trPr>
          <w:trHeight w:val="397"/>
        </w:trPr>
        <w:tc>
          <w:tcPr>
            <w:tcW w:w="5000" w:type="pct"/>
            <w:gridSpan w:val="6"/>
            <w:shd w:val="clear" w:color="auto" w:fill="EC6608"/>
            <w:vAlign w:val="center"/>
          </w:tcPr>
          <w:p w:rsidR="00F4076A" w:rsidRPr="00E50EE3" w:rsidRDefault="00486737" w:rsidP="00486737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DANE PORĘCZYCIELA</w:t>
            </w:r>
          </w:p>
        </w:tc>
      </w:tr>
      <w:tr w:rsidR="00F549DB" w:rsidRPr="00E50EE3" w:rsidTr="00BF7491">
        <w:trPr>
          <w:trHeight w:val="440"/>
        </w:trPr>
        <w:tc>
          <w:tcPr>
            <w:tcW w:w="759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3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rPr>
          <w:trHeight w:val="288"/>
        </w:trPr>
        <w:tc>
          <w:tcPr>
            <w:tcW w:w="759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3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Kobieta</w:t>
            </w:r>
          </w:p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Mężczyzna</w:t>
            </w:r>
          </w:p>
        </w:tc>
      </w:tr>
      <w:tr w:rsidR="00B730D2" w:rsidRPr="00E50EE3" w:rsidTr="00BF7491">
        <w:trPr>
          <w:trHeight w:val="288"/>
        </w:trPr>
        <w:tc>
          <w:tcPr>
            <w:tcW w:w="759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3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5" w:type="pct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703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9"/>
        <w:gridCol w:w="1359"/>
        <w:gridCol w:w="1611"/>
        <w:gridCol w:w="591"/>
        <w:gridCol w:w="1163"/>
        <w:gridCol w:w="433"/>
        <w:gridCol w:w="968"/>
        <w:gridCol w:w="1754"/>
      </w:tblGrid>
      <w:tr w:rsidR="00B730D2" w:rsidRPr="00E50EE3" w:rsidTr="00BF7491">
        <w:trPr>
          <w:trHeight w:val="164"/>
        </w:trPr>
        <w:tc>
          <w:tcPr>
            <w:tcW w:w="5000" w:type="pct"/>
            <w:gridSpan w:val="8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Dokument tożsamości</w:t>
            </w:r>
            <w:r w:rsidR="00F549DB" w:rsidRPr="00E50EE3">
              <w:rPr>
                <w:rFonts w:cstheme="minorHAnsi"/>
                <w:sz w:val="20"/>
                <w:szCs w:val="20"/>
              </w:rPr>
              <w:t xml:space="preserve"> poręczyciela:</w:t>
            </w:r>
          </w:p>
        </w:tc>
      </w:tr>
      <w:tr w:rsidR="00BF7491" w:rsidRPr="00E50EE3" w:rsidTr="00BF7491">
        <w:trPr>
          <w:trHeight w:val="164"/>
        </w:trPr>
        <w:tc>
          <w:tcPr>
            <w:tcW w:w="1491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85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59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730D2" w:rsidRPr="00E50EE3" w:rsidTr="00BF7491">
        <w:trPr>
          <w:trHeight w:val="288"/>
        </w:trPr>
        <w:tc>
          <w:tcPr>
            <w:tcW w:w="75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2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67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44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9"/>
        <w:gridCol w:w="1538"/>
        <w:gridCol w:w="1560"/>
        <w:gridCol w:w="1533"/>
        <w:gridCol w:w="1551"/>
        <w:gridCol w:w="1547"/>
      </w:tblGrid>
      <w:tr w:rsidR="00B730D2" w:rsidRPr="00E50EE3" w:rsidTr="00BF7491">
        <w:trPr>
          <w:trHeight w:val="308"/>
        </w:trPr>
        <w:tc>
          <w:tcPr>
            <w:tcW w:w="5000" w:type="pct"/>
            <w:gridSpan w:val="6"/>
            <w:shd w:val="clear" w:color="auto" w:fill="F3963E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Adres zamieszkania</w:t>
            </w:r>
            <w:r w:rsidR="00F549DB" w:rsidRPr="00E50EE3">
              <w:rPr>
                <w:rFonts w:cstheme="minorHAnsi"/>
                <w:sz w:val="20"/>
                <w:szCs w:val="20"/>
              </w:rPr>
              <w:t xml:space="preserve"> poręczyciela:</w:t>
            </w:r>
          </w:p>
        </w:tc>
      </w:tr>
      <w:tr w:rsidR="003245AD" w:rsidRPr="00E50EE3" w:rsidTr="00BF7491">
        <w:trPr>
          <w:trHeight w:val="288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730D2" w:rsidRPr="00E50EE3" w:rsidTr="00BF7491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6"/>
        <w:gridCol w:w="1298"/>
        <w:gridCol w:w="2159"/>
        <w:gridCol w:w="2614"/>
        <w:gridCol w:w="2751"/>
      </w:tblGrid>
      <w:tr w:rsidR="00F549DB" w:rsidRPr="00E50EE3" w:rsidTr="00DE4740">
        <w:tc>
          <w:tcPr>
            <w:tcW w:w="5000" w:type="pct"/>
            <w:gridSpan w:val="5"/>
            <w:shd w:val="clear" w:color="auto" w:fill="F3963E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Podstawowe źródło dochodów poręczyciela: </w:t>
            </w: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Umowa o pracę na czas nieokreślony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DE4740">
        <w:trPr>
          <w:trHeight w:val="215"/>
        </w:trPr>
        <w:tc>
          <w:tcPr>
            <w:tcW w:w="25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Umowa o pracę na czas określony</w:t>
            </w:r>
          </w:p>
        </w:tc>
        <w:tc>
          <w:tcPr>
            <w:tcW w:w="1407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rPr>
          <w:trHeight w:val="214"/>
        </w:trPr>
        <w:tc>
          <w:tcPr>
            <w:tcW w:w="25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2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407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Emerytura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Renta stała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DE4740">
        <w:trPr>
          <w:trHeight w:val="215"/>
        </w:trPr>
        <w:tc>
          <w:tcPr>
            <w:tcW w:w="25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Renta czasowa</w:t>
            </w:r>
          </w:p>
        </w:tc>
        <w:tc>
          <w:tcPr>
            <w:tcW w:w="1407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rPr>
          <w:trHeight w:val="214"/>
        </w:trPr>
        <w:tc>
          <w:tcPr>
            <w:tcW w:w="25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2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407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7"/>
        <w:gridCol w:w="1661"/>
        <w:gridCol w:w="1668"/>
        <w:gridCol w:w="1430"/>
        <w:gridCol w:w="1362"/>
        <w:gridCol w:w="1219"/>
        <w:gridCol w:w="1441"/>
      </w:tblGrid>
      <w:tr w:rsidR="003245AD" w:rsidRPr="00E50EE3" w:rsidTr="00BF7491">
        <w:trPr>
          <w:trHeight w:val="422"/>
        </w:trPr>
        <w:tc>
          <w:tcPr>
            <w:tcW w:w="273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4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Własna działalność gospodarcza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770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REGON</w:t>
            </w:r>
          </w:p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firmy</w:t>
            </w:r>
          </w:p>
        </w:tc>
        <w:tc>
          <w:tcPr>
            <w:tcW w:w="65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PKD</w:t>
            </w:r>
          </w:p>
        </w:tc>
        <w:tc>
          <w:tcPr>
            <w:tcW w:w="77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rejestracji</w:t>
            </w:r>
          </w:p>
        </w:tc>
      </w:tr>
      <w:tr w:rsidR="00F549DB" w:rsidRPr="00E50EE3" w:rsidTr="00BF7491">
        <w:trPr>
          <w:trHeight w:val="131"/>
        </w:trPr>
        <w:tc>
          <w:tcPr>
            <w:tcW w:w="273" w:type="pct"/>
            <w:vMerge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70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656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76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2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B730D2" w:rsidRPr="00E50EE3" w:rsidRDefault="00B730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7"/>
        <w:gridCol w:w="1947"/>
        <w:gridCol w:w="2274"/>
        <w:gridCol w:w="2274"/>
        <w:gridCol w:w="2276"/>
      </w:tblGrid>
      <w:tr w:rsidR="003245AD" w:rsidRPr="00E50EE3" w:rsidTr="00BF7491">
        <w:trPr>
          <w:trHeight w:val="482"/>
        </w:trPr>
        <w:tc>
          <w:tcPr>
            <w:tcW w:w="279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48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Gospodarstwo rolne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 hektarów przeliczeniowych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 dopłat UE</w:t>
            </w:r>
          </w:p>
        </w:tc>
        <w:tc>
          <w:tcPr>
            <w:tcW w:w="1225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ze sprzedaży</w:t>
            </w:r>
          </w:p>
        </w:tc>
      </w:tr>
      <w:tr w:rsidR="00F549DB" w:rsidRPr="00E50EE3" w:rsidTr="00BF7491">
        <w:trPr>
          <w:trHeight w:val="152"/>
        </w:trPr>
        <w:tc>
          <w:tcPr>
            <w:tcW w:w="279" w:type="pct"/>
            <w:vMerge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8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 w:rsidP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919"/>
        <w:gridCol w:w="732"/>
        <w:gridCol w:w="1443"/>
        <w:gridCol w:w="2378"/>
        <w:gridCol w:w="2279"/>
      </w:tblGrid>
      <w:tr w:rsidR="00F549DB" w:rsidRPr="00E50EE3" w:rsidTr="00BF7491">
        <w:trPr>
          <w:trHeight w:val="749"/>
        </w:trPr>
        <w:tc>
          <w:tcPr>
            <w:tcW w:w="289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A61A26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Inne (najem, zasiłki, umowy cywilno-prawne)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Jakie?</w:t>
            </w:r>
          </w:p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7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80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228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 w:rsidP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10"/>
        <w:gridCol w:w="977"/>
        <w:gridCol w:w="1473"/>
        <w:gridCol w:w="1451"/>
        <w:gridCol w:w="2777"/>
      </w:tblGrid>
      <w:tr w:rsidR="00F549DB" w:rsidRPr="00E50EE3" w:rsidTr="00BF7491">
        <w:trPr>
          <w:trHeight w:val="408"/>
        </w:trPr>
        <w:tc>
          <w:tcPr>
            <w:tcW w:w="1931" w:type="pct"/>
            <w:gridSpan w:val="2"/>
            <w:shd w:val="clear" w:color="auto" w:fill="F3963E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Miesięczny dochód łącznie</w:t>
            </w:r>
          </w:p>
        </w:tc>
        <w:tc>
          <w:tcPr>
            <w:tcW w:w="3069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1405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Dodatkowe źródła dochodu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Jakie?</w:t>
            </w:r>
          </w:p>
        </w:tc>
        <w:tc>
          <w:tcPr>
            <w:tcW w:w="79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dochodu</w:t>
            </w:r>
          </w:p>
        </w:tc>
        <w:tc>
          <w:tcPr>
            <w:tcW w:w="149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E50EE3" w:rsidRDefault="00E50EE3">
      <w:pPr>
        <w:rPr>
          <w:rFonts w:cstheme="minorHAnsi"/>
          <w:sz w:val="20"/>
          <w:szCs w:val="20"/>
        </w:rPr>
      </w:pPr>
    </w:p>
    <w:p w:rsidR="00E50EE3" w:rsidRDefault="00E50EE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40"/>
        <w:gridCol w:w="594"/>
        <w:gridCol w:w="468"/>
        <w:gridCol w:w="1150"/>
        <w:gridCol w:w="520"/>
        <w:gridCol w:w="903"/>
        <w:gridCol w:w="58"/>
        <w:gridCol w:w="693"/>
        <w:gridCol w:w="669"/>
        <w:gridCol w:w="672"/>
        <w:gridCol w:w="386"/>
        <w:gridCol w:w="321"/>
        <w:gridCol w:w="1414"/>
      </w:tblGrid>
      <w:tr w:rsidR="00F549DB" w:rsidRPr="00E50EE3" w:rsidTr="00BF7491">
        <w:trPr>
          <w:trHeight w:val="283"/>
        </w:trPr>
        <w:tc>
          <w:tcPr>
            <w:tcW w:w="5000" w:type="pct"/>
            <w:gridSpan w:val="13"/>
            <w:shd w:val="clear" w:color="auto" w:fill="F3963E"/>
            <w:vAlign w:val="center"/>
          </w:tcPr>
          <w:p w:rsidR="00F549DB" w:rsidRPr="00E50EE3" w:rsidRDefault="00F549DB" w:rsidP="003F6E51">
            <w:pPr>
              <w:keepNext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Majątek poręczyciela</w:t>
            </w:r>
          </w:p>
        </w:tc>
      </w:tr>
      <w:tr w:rsidR="00E50EE3" w:rsidRPr="00E50EE3" w:rsidTr="00E50EE3">
        <w:tc>
          <w:tcPr>
            <w:tcW w:w="775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Nieruchomości</w:t>
            </w:r>
          </w:p>
        </w:tc>
        <w:tc>
          <w:tcPr>
            <w:tcW w:w="1191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 (np. działa rolna, mieszkanie, dom)</w:t>
            </w:r>
          </w:p>
        </w:tc>
        <w:tc>
          <w:tcPr>
            <w:tcW w:w="766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764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74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746"/>
        </w:trPr>
        <w:tc>
          <w:tcPr>
            <w:tcW w:w="1095" w:type="pct"/>
            <w:gridSpan w:val="2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Ruchomości o szacunkowej wartości powyżej 10 tys. zł</w:t>
            </w:r>
          </w:p>
        </w:tc>
        <w:tc>
          <w:tcPr>
            <w:tcW w:w="1151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 (np. samochód, maszyna)</w:t>
            </w:r>
          </w:p>
        </w:tc>
        <w:tc>
          <w:tcPr>
            <w:tcW w:w="89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93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9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F549DB" w:rsidRPr="00E50EE3" w:rsidTr="00BF7491">
        <w:trPr>
          <w:trHeight w:val="157"/>
        </w:trPr>
        <w:tc>
          <w:tcPr>
            <w:tcW w:w="1095" w:type="pct"/>
            <w:gridSpan w:val="2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rPr>
          <w:trHeight w:val="157"/>
        </w:trPr>
        <w:tc>
          <w:tcPr>
            <w:tcW w:w="1095" w:type="pct"/>
            <w:gridSpan w:val="2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464"/>
        </w:trPr>
        <w:tc>
          <w:tcPr>
            <w:tcW w:w="1347" w:type="pct"/>
            <w:gridSpan w:val="3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Pozostałe aktywa (lokaty, fundusze, akcje)</w:t>
            </w:r>
          </w:p>
        </w:tc>
        <w:tc>
          <w:tcPr>
            <w:tcW w:w="1416" w:type="pct"/>
            <w:gridSpan w:val="4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Rodzaj/nazwa</w:t>
            </w:r>
          </w:p>
        </w:tc>
        <w:tc>
          <w:tcPr>
            <w:tcW w:w="1095" w:type="pct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Aktualna wartość</w:t>
            </w:r>
          </w:p>
        </w:tc>
        <w:tc>
          <w:tcPr>
            <w:tcW w:w="1142" w:type="pct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3245AD" w:rsidRPr="00E50EE3" w:rsidTr="00BF7491">
        <w:trPr>
          <w:trHeight w:val="244"/>
        </w:trPr>
        <w:tc>
          <w:tcPr>
            <w:tcW w:w="1347" w:type="pct"/>
            <w:gridSpan w:val="3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gridSpan w:val="4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5" w:type="pct"/>
            <w:gridSpan w:val="3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2" w:type="pct"/>
            <w:gridSpan w:val="3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549DB" w:rsidRPr="00E50EE3" w:rsidTr="00BF7491">
        <w:trPr>
          <w:trHeight w:val="142"/>
        </w:trPr>
        <w:tc>
          <w:tcPr>
            <w:tcW w:w="1347" w:type="pct"/>
            <w:gridSpan w:val="3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95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42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B730D2" w:rsidRPr="00E50EE3" w:rsidRDefault="00B730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7"/>
        <w:gridCol w:w="697"/>
        <w:gridCol w:w="78"/>
        <w:gridCol w:w="773"/>
        <w:gridCol w:w="386"/>
        <w:gridCol w:w="1163"/>
        <w:gridCol w:w="223"/>
        <w:gridCol w:w="1324"/>
        <w:gridCol w:w="264"/>
        <w:gridCol w:w="511"/>
        <w:gridCol w:w="773"/>
        <w:gridCol w:w="1549"/>
      </w:tblGrid>
      <w:tr w:rsidR="00F549DB" w:rsidRPr="00E50EE3" w:rsidTr="00BF7491">
        <w:tc>
          <w:tcPr>
            <w:tcW w:w="5000" w:type="pct"/>
            <w:gridSpan w:val="12"/>
            <w:shd w:val="clear" w:color="auto" w:fill="F3963E"/>
            <w:vAlign w:val="center"/>
          </w:tcPr>
          <w:p w:rsidR="00F549DB" w:rsidRPr="00E50EE3" w:rsidRDefault="00F549DB" w:rsidP="00F549DB">
            <w:pPr>
              <w:keepNext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Posiadane zobowiązania finansowe poręczyciela (również firmowe)</w:t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Kredyty ratalne (gotówkowe, hipoteczne, zakupy na raty)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Limity w ROR/karty kredytowe</w:t>
            </w:r>
          </w:p>
        </w:tc>
      </w:tr>
      <w:tr w:rsidR="00BF7491" w:rsidRPr="00E50EE3" w:rsidTr="00BF7491">
        <w:tc>
          <w:tcPr>
            <w:tcW w:w="125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125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1250" w:type="pct"/>
            <w:gridSpan w:val="4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1250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wykorzystana</w:t>
            </w:r>
          </w:p>
        </w:tc>
      </w:tr>
      <w:tr w:rsidR="00F549DB" w:rsidRPr="00E50EE3" w:rsidTr="00BF7491"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Udzielone poręczenia (gotówkowe, hipoteczne, zakupy na raty)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B4355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4355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Leasingi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4355" w:rsidRPr="00E50EE3" w:rsidTr="00BF7491">
        <w:tc>
          <w:tcPr>
            <w:tcW w:w="1208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Pozostałe obciążenia finansowe np. alimenty</w:t>
            </w:r>
          </w:p>
        </w:tc>
        <w:tc>
          <w:tcPr>
            <w:tcW w:w="666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</w:t>
            </w:r>
          </w:p>
        </w:tc>
        <w:tc>
          <w:tcPr>
            <w:tcW w:w="74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55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miesięczna</w:t>
            </w:r>
          </w:p>
        </w:tc>
        <w:tc>
          <w:tcPr>
            <w:tcW w:w="1525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A186E" w:rsidRPr="00E50EE3" w:rsidRDefault="00CA186E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17"/>
        <w:gridCol w:w="882"/>
        <w:gridCol w:w="461"/>
        <w:gridCol w:w="2955"/>
        <w:gridCol w:w="1373"/>
      </w:tblGrid>
      <w:tr w:rsidR="00F549DB" w:rsidRPr="00E50EE3" w:rsidTr="00BF7491">
        <w:trPr>
          <w:trHeight w:val="402"/>
        </w:trPr>
        <w:tc>
          <w:tcPr>
            <w:tcW w:w="2422" w:type="pct"/>
            <w:gridSpan w:val="2"/>
            <w:shd w:val="clear" w:color="auto" w:fill="F3963E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Łączny koszt utrzymania gospodarstwa domowego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1947" w:type="pct"/>
            <w:shd w:val="clear" w:color="auto" w:fill="F3963E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Liczba osób w gospodarstwie domowym</w:t>
            </w:r>
          </w:p>
        </w:tc>
        <w:tc>
          <w:tcPr>
            <w:tcW w:w="72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91" w:type="pct"/>
            <w:shd w:val="clear" w:color="auto" w:fill="F3963E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Liczba osób pozostających na utrzymaniu (nie posiadających dochodu)</w:t>
            </w:r>
          </w:p>
        </w:tc>
        <w:tc>
          <w:tcPr>
            <w:tcW w:w="739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A186E" w:rsidRDefault="00CA186E" w:rsidP="00357346">
      <w:pPr>
        <w:rPr>
          <w:rFonts w:cstheme="minorHAnsi"/>
          <w:b/>
          <w:bCs/>
          <w:sz w:val="20"/>
          <w:szCs w:val="20"/>
        </w:rPr>
      </w:pPr>
    </w:p>
    <w:p w:rsidR="00E50EE3" w:rsidRPr="00E50EE3" w:rsidRDefault="00E50EE3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486737" w:rsidRPr="00E50EE3" w:rsidTr="009529BE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F37471" w:rsidRPr="00E50EE3" w:rsidRDefault="00E50EE3" w:rsidP="00486737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br w:type="page"/>
            </w:r>
            <w:r w:rsidR="00F37471" w:rsidRPr="00E50EE3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E50EE3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</w:t>
            </w:r>
            <w:r w:rsidR="00486737"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wnioskodawców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osób ich reprezentujących, pełnomocników, osób wyznaczonych do kontaktu i innych osób upoważnionych do działania w ich imieniu w celach: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wypełniania obowiązków prawnych ciążących na administratorze w związku </w:t>
            </w:r>
            <w:r w:rsidRPr="00E50EE3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E50EE3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3D59A1" w:rsidRPr="00E50EE3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E50EE3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 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nie będą przekazywane do państw trzecich (tj. poza Europejski Obszar Gospodarczy) ani do organizacji międzynarodowych, z zastrzeżeniem przypadków, gdy z Umowy albo pisemnej dyspozycji Beneficjenta Umowy w sprawie udostępnienia produktu lub usługi wyraźnie to wynika;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osobom, o których mowa w ust. 1, przysługuje prawo dostępu do swoich danych osobowych oraz prawo żądania ich sprostowania, usunięcia, ograniczenia przetwarzania, przenoszenia; w zakresie, w jakim </w:t>
            </w:r>
            <w:r w:rsidRPr="00E50EE3">
              <w:rPr>
                <w:rFonts w:cstheme="minorHAnsi"/>
                <w:sz w:val="20"/>
                <w:szCs w:val="20"/>
              </w:rPr>
              <w:lastRenderedPageBreak/>
              <w:t>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:rsidR="00F37471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E50EE3" w:rsidTr="00E50EE3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E50EE3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06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A61A26"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0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486737" w:rsidRPr="00E50EE3" w:rsidTr="009529BE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F37471" w:rsidRPr="00E50EE3" w:rsidRDefault="00F37471" w:rsidP="00486737">
            <w:pPr>
              <w:pStyle w:val="Akapitzlist"/>
              <w:keepNext/>
              <w:numPr>
                <w:ilvl w:val="0"/>
                <w:numId w:val="18"/>
              </w:numPr>
              <w:ind w:left="714" w:hanging="357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E50EE3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E50EE3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E50EE3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0EE3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50EE3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Odrębnym administratorem Państwa danych jest: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E50EE3">
              <w:rPr>
                <w:rFonts w:cstheme="minorHAnsi"/>
                <w:sz w:val="20"/>
                <w:szCs w:val="20"/>
              </w:rPr>
              <w:t xml:space="preserve"> RODO)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E50EE3">
              <w:rPr>
                <w:rFonts w:cstheme="minorHAnsi"/>
                <w:sz w:val="20"/>
                <w:szCs w:val="20"/>
              </w:rPr>
              <w:t>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2021/1057 z dnia 24 czerwca 2021 r. ustanawiające Europejski Fundusz Społeczny Plus (EFS+) oraz uchylające rozporządzenie (UE) nr 1296/2013 (Dz. Urz. UE L 231 z 30.06.2021, str. 21, z późn. zm.)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14 czerwca 1960 r. - Kodeks postępowania administracyjnego,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lastRenderedPageBreak/>
              <w:t>Dostęp do Państwa danych osobowych mają pracownicy i współpracownicy administratora. Ponadto Państwa dane osobowe mogą być powierzane lub udostępniane: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E50EE3">
              <w:rPr>
                <w:rFonts w:cstheme="minorHAnsi"/>
                <w:sz w:val="20"/>
                <w:szCs w:val="20"/>
              </w:rPr>
              <w:t>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:rsidR="00B60DD0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:rsidR="00F37471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E50EE3">
                <w:rPr>
                  <w:rStyle w:val="Hipercze"/>
                  <w:rFonts w:cstheme="minorHAnsi"/>
                  <w:sz w:val="20"/>
                  <w:szCs w:val="20"/>
                </w:rPr>
                <w:t>IOD@mfipr.gov.pl</w:t>
              </w:r>
            </w:hyperlink>
            <w:r w:rsidRPr="00E50EE3">
              <w:rPr>
                <w:rFonts w:cstheme="minorHAnsi"/>
                <w:sz w:val="20"/>
                <w:szCs w:val="20"/>
              </w:rPr>
              <w:t>).</w:t>
            </w:r>
          </w:p>
          <w:p w:rsidR="00203D4F" w:rsidRPr="00E50EE3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:rsidR="00203D4F" w:rsidRPr="00E50EE3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E50EE3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:rsidR="00203D4F" w:rsidRPr="00E50EE3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A61A26"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p w:rsidR="00DB25B6" w:rsidRPr="00E50EE3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3"/>
        <w:gridCol w:w="1783"/>
        <w:gridCol w:w="1985"/>
        <w:gridCol w:w="2971"/>
      </w:tblGrid>
      <w:tr w:rsidR="00F712E0" w:rsidRPr="00E50EE3" w:rsidTr="006E277D">
        <w:trPr>
          <w:trHeight w:val="1011"/>
        </w:trPr>
        <w:tc>
          <w:tcPr>
            <w:tcW w:w="2323" w:type="dxa"/>
            <w:vMerge w:val="restart"/>
            <w:shd w:val="clear" w:color="auto" w:fill="EC6608"/>
            <w:vAlign w:val="center"/>
          </w:tcPr>
          <w:p w:rsidR="00F712E0" w:rsidRPr="00E50EE3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PODPIS </w:t>
            </w:r>
            <w:r w:rsidR="00486737" w:rsidRPr="00E50EE3">
              <w:rPr>
                <w:rFonts w:cstheme="minorHAnsi"/>
                <w:b/>
                <w:bCs/>
                <w:sz w:val="20"/>
                <w:szCs w:val="20"/>
              </w:rPr>
              <w:t>PORĘCZYCIELA</w:t>
            </w:r>
          </w:p>
        </w:tc>
        <w:tc>
          <w:tcPr>
            <w:tcW w:w="1783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" w:name="Tekst177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85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kst178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971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E50EE3" w:rsidTr="006E277D">
        <w:tc>
          <w:tcPr>
            <w:tcW w:w="2323" w:type="dxa"/>
            <w:vMerge/>
            <w:shd w:val="clear" w:color="auto" w:fill="EC6608"/>
          </w:tcPr>
          <w:p w:rsidR="00F712E0" w:rsidRPr="00E50EE3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 xml:space="preserve">Podpis </w:t>
            </w:r>
            <w:r w:rsidR="00486737" w:rsidRPr="00E50EE3">
              <w:rPr>
                <w:rFonts w:cstheme="minorHAnsi"/>
                <w:sz w:val="16"/>
                <w:szCs w:val="16"/>
              </w:rPr>
              <w:t>poręczyciela</w:t>
            </w:r>
          </w:p>
        </w:tc>
      </w:tr>
    </w:tbl>
    <w:p w:rsidR="00F712E0" w:rsidRPr="00E50EE3" w:rsidRDefault="00F712E0" w:rsidP="00E50EE3">
      <w:pPr>
        <w:rPr>
          <w:rFonts w:cstheme="minorHAnsi"/>
          <w:sz w:val="20"/>
          <w:szCs w:val="20"/>
        </w:rPr>
      </w:pPr>
    </w:p>
    <w:sectPr w:rsidR="00F712E0" w:rsidRPr="00E50EE3" w:rsidSect="00E50EE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47D1" w:rsidRDefault="001347D1" w:rsidP="00367A1F">
      <w:r>
        <w:separator/>
      </w:r>
    </w:p>
  </w:endnote>
  <w:endnote w:type="continuationSeparator" w:id="0">
    <w:p w:rsidR="001347D1" w:rsidRDefault="001347D1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50EE3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6AD1" w:rsidRDefault="00E50EE3" w:rsidP="00716AD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CE54E89" wp14:editId="7402A6D2">
          <wp:simplePos x="0" y="0"/>
          <wp:positionH relativeFrom="margin">
            <wp:posOffset>-22225</wp:posOffset>
          </wp:positionH>
          <wp:positionV relativeFrom="paragraph">
            <wp:posOffset>-102235</wp:posOffset>
          </wp:positionV>
          <wp:extent cx="5736590" cy="504825"/>
          <wp:effectExtent l="0" t="0" r="0" b="9525"/>
          <wp:wrapThrough wrapText="bothSides">
            <wp:wrapPolygon edited="0">
              <wp:start x="0" y="0"/>
              <wp:lineTo x="0" y="21192"/>
              <wp:lineTo x="21519" y="21192"/>
              <wp:lineTo x="21519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47D1" w:rsidRDefault="001347D1" w:rsidP="00367A1F">
      <w:r>
        <w:separator/>
      </w:r>
    </w:p>
  </w:footnote>
  <w:footnote w:type="continuationSeparator" w:id="0">
    <w:p w:rsidR="001347D1" w:rsidRDefault="001347D1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A1F" w:rsidRDefault="00E50E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0C83403" wp14:editId="6B801CFF">
          <wp:simplePos x="0" y="0"/>
          <wp:positionH relativeFrom="margin">
            <wp:posOffset>325120</wp:posOffset>
          </wp:positionH>
          <wp:positionV relativeFrom="paragraph">
            <wp:posOffset>-99060</wp:posOffset>
          </wp:positionV>
          <wp:extent cx="5414645" cy="596265"/>
          <wp:effectExtent l="0" t="0" r="0" b="0"/>
          <wp:wrapThrough wrapText="bothSides">
            <wp:wrapPolygon edited="0">
              <wp:start x="0" y="0"/>
              <wp:lineTo x="0" y="20703"/>
              <wp:lineTo x="21506" y="20703"/>
              <wp:lineTo x="21506" y="0"/>
              <wp:lineTo x="0" y="0"/>
            </wp:wrapPolygon>
          </wp:wrapThrough>
          <wp:docPr id="939009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009722" name="Obraz 93900972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5" t="10665" r="1377" b="11485"/>
                  <a:stretch/>
                </pic:blipFill>
                <pic:spPr bwMode="auto">
                  <a:xfrm>
                    <a:off x="0" y="0"/>
                    <a:ext cx="5414645" cy="596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4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2161AF"/>
    <w:multiLevelType w:val="hybridMultilevel"/>
    <w:tmpl w:val="03C4D058"/>
    <w:lvl w:ilvl="0" w:tplc="13EEF9E2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num w:numId="1" w16cid:durableId="2042508453">
    <w:abstractNumId w:val="5"/>
  </w:num>
  <w:num w:numId="2" w16cid:durableId="945695539">
    <w:abstractNumId w:val="0"/>
  </w:num>
  <w:num w:numId="3" w16cid:durableId="1352804864">
    <w:abstractNumId w:val="2"/>
  </w:num>
  <w:num w:numId="4" w16cid:durableId="1928540919">
    <w:abstractNumId w:val="8"/>
  </w:num>
  <w:num w:numId="5" w16cid:durableId="1671323137">
    <w:abstractNumId w:val="12"/>
  </w:num>
  <w:num w:numId="6" w16cid:durableId="909772407">
    <w:abstractNumId w:val="11"/>
  </w:num>
  <w:num w:numId="7" w16cid:durableId="1240629159">
    <w:abstractNumId w:val="10"/>
  </w:num>
  <w:num w:numId="8" w16cid:durableId="651720213">
    <w:abstractNumId w:val="6"/>
  </w:num>
  <w:num w:numId="9" w16cid:durableId="1661612999">
    <w:abstractNumId w:val="15"/>
  </w:num>
  <w:num w:numId="10" w16cid:durableId="842859028">
    <w:abstractNumId w:val="1"/>
  </w:num>
  <w:num w:numId="11" w16cid:durableId="1556968125">
    <w:abstractNumId w:val="16"/>
  </w:num>
  <w:num w:numId="12" w16cid:durableId="701176145">
    <w:abstractNumId w:val="3"/>
  </w:num>
  <w:num w:numId="13" w16cid:durableId="1771241759">
    <w:abstractNumId w:val="4"/>
  </w:num>
  <w:num w:numId="14" w16cid:durableId="1330258699">
    <w:abstractNumId w:val="14"/>
  </w:num>
  <w:num w:numId="15" w16cid:durableId="33041814">
    <w:abstractNumId w:val="7"/>
  </w:num>
  <w:num w:numId="16" w16cid:durableId="655456449">
    <w:abstractNumId w:val="13"/>
  </w:num>
  <w:num w:numId="17" w16cid:durableId="4674026">
    <w:abstractNumId w:val="9"/>
  </w:num>
  <w:num w:numId="18" w16cid:durableId="16675861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rYiabi/lNOMI+8a6oASUSGNqRF4MSgJub5OcKkIM7Tt/U30SQ4SbnMDpaYoyzJHmiVQe5uDno1GA1iy1ycIHQ==" w:salt="FIZ9m5A1LAMcYaNyABdnP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518E8"/>
    <w:rsid w:val="00055B68"/>
    <w:rsid w:val="00090583"/>
    <w:rsid w:val="000A2F7D"/>
    <w:rsid w:val="0013181D"/>
    <w:rsid w:val="00131AB7"/>
    <w:rsid w:val="001347D1"/>
    <w:rsid w:val="00181872"/>
    <w:rsid w:val="001957AB"/>
    <w:rsid w:val="001A7268"/>
    <w:rsid w:val="00203D4F"/>
    <w:rsid w:val="00206731"/>
    <w:rsid w:val="00246775"/>
    <w:rsid w:val="00294950"/>
    <w:rsid w:val="002C4B11"/>
    <w:rsid w:val="003245AD"/>
    <w:rsid w:val="003466B4"/>
    <w:rsid w:val="00357346"/>
    <w:rsid w:val="0036185C"/>
    <w:rsid w:val="00367A1F"/>
    <w:rsid w:val="003A37E7"/>
    <w:rsid w:val="003A6E4F"/>
    <w:rsid w:val="003D59A1"/>
    <w:rsid w:val="003F6E51"/>
    <w:rsid w:val="004529AB"/>
    <w:rsid w:val="00486737"/>
    <w:rsid w:val="00495D79"/>
    <w:rsid w:val="004D57A3"/>
    <w:rsid w:val="00531994"/>
    <w:rsid w:val="00536FF5"/>
    <w:rsid w:val="005606AB"/>
    <w:rsid w:val="00587B7C"/>
    <w:rsid w:val="005C6158"/>
    <w:rsid w:val="005D72E1"/>
    <w:rsid w:val="005F6CA8"/>
    <w:rsid w:val="00660A62"/>
    <w:rsid w:val="006E277D"/>
    <w:rsid w:val="006E44BD"/>
    <w:rsid w:val="00716AD1"/>
    <w:rsid w:val="00733DB3"/>
    <w:rsid w:val="007F43C3"/>
    <w:rsid w:val="00823722"/>
    <w:rsid w:val="00834DC5"/>
    <w:rsid w:val="008A3266"/>
    <w:rsid w:val="00931880"/>
    <w:rsid w:val="00977B09"/>
    <w:rsid w:val="009E2377"/>
    <w:rsid w:val="00A33CB4"/>
    <w:rsid w:val="00A35BAE"/>
    <w:rsid w:val="00A61A26"/>
    <w:rsid w:val="00A93BED"/>
    <w:rsid w:val="00B17352"/>
    <w:rsid w:val="00B249D1"/>
    <w:rsid w:val="00B45995"/>
    <w:rsid w:val="00B60DD0"/>
    <w:rsid w:val="00B730D2"/>
    <w:rsid w:val="00B82AEE"/>
    <w:rsid w:val="00BB4C76"/>
    <w:rsid w:val="00BF7491"/>
    <w:rsid w:val="00C025A0"/>
    <w:rsid w:val="00C16ED2"/>
    <w:rsid w:val="00C37EAF"/>
    <w:rsid w:val="00C84EDE"/>
    <w:rsid w:val="00C91D4E"/>
    <w:rsid w:val="00CA186E"/>
    <w:rsid w:val="00CB3230"/>
    <w:rsid w:val="00CC6765"/>
    <w:rsid w:val="00D147E7"/>
    <w:rsid w:val="00D14D20"/>
    <w:rsid w:val="00D20399"/>
    <w:rsid w:val="00D62673"/>
    <w:rsid w:val="00DB25B6"/>
    <w:rsid w:val="00DB5BC8"/>
    <w:rsid w:val="00DE0F26"/>
    <w:rsid w:val="00DE2417"/>
    <w:rsid w:val="00DE4740"/>
    <w:rsid w:val="00E00236"/>
    <w:rsid w:val="00E15390"/>
    <w:rsid w:val="00E43061"/>
    <w:rsid w:val="00E460F3"/>
    <w:rsid w:val="00E50EE3"/>
    <w:rsid w:val="00E67AD1"/>
    <w:rsid w:val="00E95689"/>
    <w:rsid w:val="00EA1E43"/>
    <w:rsid w:val="00F24851"/>
    <w:rsid w:val="00F37471"/>
    <w:rsid w:val="00F4076A"/>
    <w:rsid w:val="00F42F9E"/>
    <w:rsid w:val="00F549DB"/>
    <w:rsid w:val="00F712E0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D9F469-E42D-4325-B1EA-1D514C18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2329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13</cp:revision>
  <dcterms:created xsi:type="dcterms:W3CDTF">2024-09-18T08:35:00Z</dcterms:created>
  <dcterms:modified xsi:type="dcterms:W3CDTF">2024-10-24T10:02:00Z</dcterms:modified>
</cp:coreProperties>
</file>